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B365D" w14:textId="77777777" w:rsidR="00C73468" w:rsidRDefault="00690F4A">
      <w:pPr>
        <w:spacing w:after="300"/>
        <w:jc w:val="center"/>
      </w:pPr>
      <w:r>
        <w:rPr>
          <w:rFonts w:ascii="Calibri" w:eastAsia="Calibri" w:hAnsi="Calibri" w:cs="Calibri"/>
          <w:b/>
          <w:bCs/>
          <w:sz w:val="24"/>
          <w:szCs w:val="24"/>
        </w:rPr>
        <w:t>DECLARACIÓN PÚBLICA</w:t>
      </w:r>
    </w:p>
    <w:p w14:paraId="1A818A8B" w14:textId="77777777" w:rsidR="00C73468" w:rsidRDefault="00690F4A">
      <w:pPr>
        <w:spacing w:after="200"/>
        <w:jc w:val="both"/>
      </w:pPr>
      <w:r>
        <w:rPr>
          <w:rFonts w:ascii="Calibri" w:eastAsia="Calibri" w:hAnsi="Calibri" w:cs="Calibri"/>
          <w:sz w:val="22"/>
          <w:szCs w:val="22"/>
        </w:rPr>
        <w:t>Los ex Cancilleres y ex Subsecretarios de Relaciones Exteriores que apoyamos la candidatura de la ex Presidenta Michelle Bachelet a la Secretaría General de Naciones Unidas (ONU) respetamos y valoramos su decisión de retirar su postulación.</w:t>
      </w:r>
    </w:p>
    <w:p w14:paraId="76ACBA87" w14:textId="77777777" w:rsidR="00C73468" w:rsidRDefault="00690F4A">
      <w:pPr>
        <w:spacing w:after="200"/>
        <w:jc w:val="both"/>
      </w:pPr>
      <w:r>
        <w:rPr>
          <w:rFonts w:ascii="Calibri" w:eastAsia="Calibri" w:hAnsi="Calibri" w:cs="Calibri"/>
          <w:sz w:val="22"/>
          <w:szCs w:val="22"/>
        </w:rPr>
        <w:t>Michelle Bachelet era la mejor candidata de Chile a tan alta responsabilidad. Su trayectoria —dos veces Presidenta de la República, Directora Ejecutiva de ONU Mujeres y Alta Comisionada de la ONU para los Derechos Humanos— resulta inigualable en la historia diplomática nacional y refleja su sólido compromiso con los mejores valores de la organización.</w:t>
      </w:r>
    </w:p>
    <w:p w14:paraId="5B7CCA8C" w14:textId="77777777" w:rsidR="00C73468" w:rsidRDefault="00690F4A">
      <w:pPr>
        <w:spacing w:after="200"/>
        <w:jc w:val="both"/>
      </w:pPr>
      <w:r>
        <w:rPr>
          <w:rFonts w:ascii="Calibri" w:eastAsia="Calibri" w:hAnsi="Calibri" w:cs="Calibri"/>
          <w:sz w:val="22"/>
          <w:szCs w:val="22"/>
        </w:rPr>
        <w:t>Reconocemos su admirable despliegue durante la campaña, contra la corriente, visitando casi todos los países miembros del Consejo de Seguridad, y participando en numerosos paneles, mesas redondas y entrevistas del proceso de postulación, con su visión sobre la necesaria reforma de la ONU para hacerla más eficiente en sus irremplazables tareas.</w:t>
      </w:r>
    </w:p>
    <w:p w14:paraId="5D73404A" w14:textId="77777777" w:rsidR="00C73468" w:rsidRDefault="00690F4A">
      <w:pPr>
        <w:spacing w:after="200"/>
        <w:jc w:val="both"/>
      </w:pPr>
      <w:r>
        <w:rPr>
          <w:rFonts w:ascii="Calibri" w:eastAsia="Calibri" w:hAnsi="Calibri" w:cs="Calibri"/>
          <w:sz w:val="22"/>
          <w:szCs w:val="22"/>
        </w:rPr>
        <w:t>Por primera vez en la historia de 80 años de la ONU, una chilena tuvo la posibilidad real de conducir la organización. Si ello no ocurrió, es necesario establecer las responsabilidades.</w:t>
      </w:r>
    </w:p>
    <w:p w14:paraId="29763226" w14:textId="77777777" w:rsidR="00C73468" w:rsidRDefault="00690F4A">
      <w:pPr>
        <w:spacing w:after="200"/>
        <w:jc w:val="both"/>
      </w:pPr>
      <w:r>
        <w:rPr>
          <w:rFonts w:ascii="Calibri" w:eastAsia="Calibri" w:hAnsi="Calibri" w:cs="Calibri"/>
          <w:sz w:val="22"/>
          <w:szCs w:val="22"/>
        </w:rPr>
        <w:t>La decisión del Gobierno de Chile de retirarle el apoyo a una compatriota distinguida fue un hecho inexplicable y sin precedentes; quedará en los anales de la historia diplomática de Chile; y se apartó del servicio a los principios, objetivos e intereses permanentes de una política exterior de Estado. La ciudadanía sabrá evaluar este episodio.</w:t>
      </w:r>
    </w:p>
    <w:p w14:paraId="366E986C" w14:textId="77777777" w:rsidR="00C73468" w:rsidRDefault="00690F4A">
      <w:pPr>
        <w:spacing w:after="200"/>
        <w:jc w:val="both"/>
      </w:pPr>
      <w:r>
        <w:rPr>
          <w:rFonts w:ascii="Calibri" w:eastAsia="Calibri" w:hAnsi="Calibri" w:cs="Calibri"/>
          <w:sz w:val="22"/>
          <w:szCs w:val="22"/>
        </w:rPr>
        <w:t>El retiro del apoyo del gobierno de Chile representó un gesto hostil que provocó un daño evidente a la candidatura, generando dudas en países que habían expresado interés en apoyarla.</w:t>
      </w:r>
    </w:p>
    <w:p w14:paraId="4BDA3F0D" w14:textId="297CA1E8" w:rsidR="00C73468" w:rsidRPr="00542B18" w:rsidRDefault="00542B18">
      <w:pPr>
        <w:spacing w:after="200"/>
        <w:jc w:val="both"/>
      </w:pPr>
      <w:r>
        <w:rPr>
          <w:rFonts w:ascii="Calibri" w:eastAsia="Calibri" w:hAnsi="Calibri" w:cs="Calibri"/>
          <w:sz w:val="22"/>
          <w:szCs w:val="22"/>
        </w:rPr>
        <w:t>Con la excepción de los Estados Unidos, Altas autoridades de todos los miembros permanentes del Consejo de Seguridad de la ONU recibieron a la expresidenta para escuchar sus propuestas.</w:t>
      </w:r>
    </w:p>
    <w:p w14:paraId="0EB1AB12" w14:textId="3C7BD67B" w:rsidR="00C73468" w:rsidRDefault="00690F4A">
      <w:pPr>
        <w:spacing w:after="200"/>
        <w:jc w:val="both"/>
      </w:pPr>
      <w:r>
        <w:rPr>
          <w:rFonts w:ascii="Calibri" w:eastAsia="Calibri" w:hAnsi="Calibri" w:cs="Calibri"/>
          <w:sz w:val="22"/>
          <w:szCs w:val="22"/>
        </w:rPr>
        <w:t>Al mismo tiempo</w:t>
      </w:r>
      <w:r>
        <w:rPr>
          <w:rFonts w:ascii="Calibri" w:eastAsia="Calibri" w:hAnsi="Calibri" w:cs="Calibri"/>
          <w:sz w:val="22"/>
          <w:szCs w:val="22"/>
        </w:rPr>
        <w:t>, la solicitud por nota de los Cancilleres de Brasil y México para que una alta autoridad de la administración de Donald Trump recibiese en audiencia a Bachelet ni siquiera fue respondida. El embajador de EE.UU. ante la ONU recibió en entrevistas a la mayoría de las y los candidatos, pero le negó una reunión a la expresidenta. Consideramos estos hechos muy significativos.</w:t>
      </w:r>
    </w:p>
    <w:p w14:paraId="50FC80BE" w14:textId="2D236430" w:rsidR="00C73468" w:rsidRDefault="00690F4A">
      <w:pPr>
        <w:spacing w:after="200"/>
        <w:jc w:val="both"/>
      </w:pPr>
      <w:r>
        <w:rPr>
          <w:rFonts w:ascii="Calibri" w:eastAsia="Calibri" w:hAnsi="Calibri" w:cs="Calibri"/>
          <w:sz w:val="22"/>
          <w:szCs w:val="22"/>
        </w:rPr>
        <w:t xml:space="preserve">Por sobre todo, apreciamos que la expresidenta haya levantado como viga maestra de su candidatura principios fundamentales para Chile y buena parte de la comunidad internacional, como el multilateralismo para enfrentar los retos a la paz y seguridad, el respeto al derecho internacional y  la soberanía de los estados miembros el desarrollo sustentable, y la democracia y los derechos humanos, normas bajo asalto en el presente escenario internacional. </w:t>
      </w:r>
    </w:p>
    <w:p w14:paraId="01E3E380" w14:textId="77777777" w:rsidR="00C73468" w:rsidRDefault="00690F4A">
      <w:pPr>
        <w:spacing w:after="200"/>
        <w:jc w:val="both"/>
      </w:pPr>
      <w:r>
        <w:rPr>
          <w:rFonts w:ascii="Calibri" w:eastAsia="Calibri" w:hAnsi="Calibri" w:cs="Calibri"/>
          <w:sz w:val="22"/>
          <w:szCs w:val="22"/>
        </w:rPr>
        <w:t>Nuestros sentidos agradecimientos, en nuestra calidad de ciudadanos chilenos, a los gobiernos de Brasil y México, que asumieron con lealtad y convicción una candidatura que impulsaron como si hubiese sido de una persona de nacionalidad propia de esos países, como demostración de regionalismo y solidaridad.</w:t>
      </w:r>
    </w:p>
    <w:p w14:paraId="1E9B5D40" w14:textId="77777777" w:rsidR="00C73468" w:rsidRDefault="00690F4A">
      <w:pPr>
        <w:spacing w:after="200"/>
        <w:jc w:val="both"/>
      </w:pPr>
      <w:r>
        <w:rPr>
          <w:rFonts w:ascii="Calibri" w:eastAsia="Calibri" w:hAnsi="Calibri" w:cs="Calibri"/>
          <w:sz w:val="22"/>
          <w:szCs w:val="22"/>
        </w:rPr>
        <w:t>Santiago, 21 de septiembre de 2026</w:t>
      </w:r>
    </w:p>
    <w:p w14:paraId="4955191F" w14:textId="77777777" w:rsidR="00C73468" w:rsidRDefault="00C73468">
      <w:pPr>
        <w:spacing w:after="200"/>
      </w:pPr>
    </w:p>
    <w:p w14:paraId="60B1A5EF" w14:textId="77777777" w:rsidR="00C73468" w:rsidRDefault="00690F4A">
      <w:pPr>
        <w:spacing w:after="200"/>
        <w:jc w:val="both"/>
      </w:pPr>
      <w:r>
        <w:rPr>
          <w:rFonts w:ascii="Calibri" w:eastAsia="Calibri" w:hAnsi="Calibri" w:cs="Calibri"/>
          <w:sz w:val="22"/>
          <w:szCs w:val="22"/>
        </w:rPr>
        <w:t>Cristian Barros</w:t>
      </w:r>
    </w:p>
    <w:p w14:paraId="1A379C57" w14:textId="77777777" w:rsidR="00C73468" w:rsidRDefault="00690F4A">
      <w:pPr>
        <w:spacing w:after="200"/>
        <w:jc w:val="both"/>
      </w:pPr>
      <w:r>
        <w:rPr>
          <w:rFonts w:ascii="Calibri" w:eastAsia="Calibri" w:hAnsi="Calibri" w:cs="Calibri"/>
          <w:sz w:val="22"/>
          <w:szCs w:val="22"/>
        </w:rPr>
        <w:t>Gloria De La Fuente</w:t>
      </w:r>
    </w:p>
    <w:p w14:paraId="62757944" w14:textId="77777777" w:rsidR="00C73468" w:rsidRDefault="00690F4A">
      <w:pPr>
        <w:spacing w:after="200"/>
        <w:jc w:val="both"/>
      </w:pPr>
      <w:r>
        <w:rPr>
          <w:rFonts w:ascii="Calibri" w:eastAsia="Calibri" w:hAnsi="Calibri" w:cs="Calibri"/>
          <w:sz w:val="22"/>
          <w:szCs w:val="22"/>
        </w:rPr>
        <w:t>Mariano Fernández</w:t>
      </w:r>
    </w:p>
    <w:p w14:paraId="4FBA005E" w14:textId="77777777" w:rsidR="00C73468" w:rsidRDefault="00690F4A">
      <w:pPr>
        <w:spacing w:after="200"/>
        <w:jc w:val="both"/>
      </w:pPr>
      <w:r>
        <w:rPr>
          <w:rFonts w:ascii="Calibri" w:eastAsia="Calibri" w:hAnsi="Calibri" w:cs="Calibri"/>
          <w:sz w:val="22"/>
          <w:szCs w:val="22"/>
        </w:rPr>
        <w:t>Ximena Fuentes</w:t>
      </w:r>
    </w:p>
    <w:p w14:paraId="2DACE7BF" w14:textId="77777777" w:rsidR="00C73468" w:rsidRDefault="00690F4A">
      <w:pPr>
        <w:spacing w:after="200"/>
        <w:jc w:val="both"/>
      </w:pPr>
      <w:r>
        <w:rPr>
          <w:rFonts w:ascii="Calibri" w:eastAsia="Calibri" w:hAnsi="Calibri" w:cs="Calibri"/>
          <w:sz w:val="22"/>
          <w:szCs w:val="22"/>
        </w:rPr>
        <w:t>José Miguel Insulza</w:t>
      </w:r>
    </w:p>
    <w:p w14:paraId="5D435CCE" w14:textId="77777777" w:rsidR="00C73468" w:rsidRDefault="00690F4A">
      <w:pPr>
        <w:spacing w:after="200"/>
        <w:jc w:val="both"/>
      </w:pPr>
      <w:r>
        <w:rPr>
          <w:rFonts w:ascii="Calibri" w:eastAsia="Calibri" w:hAnsi="Calibri" w:cs="Calibri"/>
          <w:sz w:val="22"/>
          <w:szCs w:val="22"/>
        </w:rPr>
        <w:t>Heraldo Muñoz</w:t>
      </w:r>
    </w:p>
    <w:p w14:paraId="7C4C438B" w14:textId="77777777" w:rsidR="00C73468" w:rsidRDefault="00690F4A">
      <w:pPr>
        <w:spacing w:after="200"/>
        <w:jc w:val="both"/>
      </w:pPr>
      <w:r>
        <w:rPr>
          <w:rFonts w:ascii="Calibri" w:eastAsia="Calibri" w:hAnsi="Calibri" w:cs="Calibri"/>
          <w:sz w:val="22"/>
          <w:szCs w:val="22"/>
        </w:rPr>
        <w:t>Edgardo Riveros</w:t>
      </w:r>
    </w:p>
    <w:p w14:paraId="14C81D3D" w14:textId="77777777" w:rsidR="00C73468" w:rsidRDefault="00690F4A">
      <w:pPr>
        <w:spacing w:after="200"/>
        <w:jc w:val="both"/>
      </w:pPr>
      <w:r>
        <w:rPr>
          <w:rFonts w:ascii="Calibri" w:eastAsia="Calibri" w:hAnsi="Calibri" w:cs="Calibri"/>
          <w:sz w:val="22"/>
          <w:szCs w:val="22"/>
        </w:rPr>
        <w:t>Antonia Urrejola</w:t>
      </w:r>
    </w:p>
    <w:p w14:paraId="5C167CA8" w14:textId="77777777" w:rsidR="00C73468" w:rsidRDefault="00690F4A">
      <w:pPr>
        <w:spacing w:after="200"/>
        <w:jc w:val="both"/>
      </w:pPr>
      <w:r>
        <w:rPr>
          <w:rFonts w:ascii="Calibri" w:eastAsia="Calibri" w:hAnsi="Calibri" w:cs="Calibri"/>
          <w:sz w:val="22"/>
          <w:szCs w:val="22"/>
        </w:rPr>
        <w:t>Juan Gabriel Valdés</w:t>
      </w:r>
    </w:p>
    <w:p w14:paraId="65B92E84" w14:textId="77777777" w:rsidR="00C73468" w:rsidRDefault="00690F4A">
      <w:pPr>
        <w:spacing w:after="200"/>
        <w:jc w:val="both"/>
      </w:pPr>
      <w:r>
        <w:rPr>
          <w:rFonts w:ascii="Calibri" w:eastAsia="Calibri" w:hAnsi="Calibri" w:cs="Calibri"/>
          <w:sz w:val="22"/>
          <w:szCs w:val="22"/>
        </w:rPr>
        <w:t>Alberto Van Klaveren</w:t>
      </w:r>
    </w:p>
    <w:p w14:paraId="0C3A76F7" w14:textId="77777777" w:rsidR="00C73468" w:rsidRDefault="00690F4A">
      <w:pPr>
        <w:spacing w:after="200"/>
        <w:jc w:val="both"/>
      </w:pPr>
      <w:r>
        <w:rPr>
          <w:rFonts w:ascii="Calibri" w:eastAsia="Calibri" w:hAnsi="Calibri" w:cs="Calibri"/>
          <w:sz w:val="22"/>
          <w:szCs w:val="22"/>
        </w:rPr>
        <w:t>Ignacio Walker</w:t>
      </w:r>
    </w:p>
    <w:sectPr w:rsidR="00C7346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61CB4"/>
    <w:multiLevelType w:val="hybridMultilevel"/>
    <w:tmpl w:val="B99635D6"/>
    <w:lvl w:ilvl="0" w:tplc="B1C8F7F4">
      <w:start w:val="1"/>
      <w:numFmt w:val="bullet"/>
      <w:lvlText w:val="●"/>
      <w:lvlJc w:val="left"/>
      <w:pPr>
        <w:ind w:left="720" w:hanging="360"/>
      </w:pPr>
    </w:lvl>
    <w:lvl w:ilvl="1" w:tplc="E9922F90">
      <w:start w:val="1"/>
      <w:numFmt w:val="bullet"/>
      <w:lvlText w:val="○"/>
      <w:lvlJc w:val="left"/>
      <w:pPr>
        <w:ind w:left="1440" w:hanging="360"/>
      </w:pPr>
    </w:lvl>
    <w:lvl w:ilvl="2" w:tplc="2D1C0B58">
      <w:start w:val="1"/>
      <w:numFmt w:val="bullet"/>
      <w:lvlText w:val="■"/>
      <w:lvlJc w:val="left"/>
      <w:pPr>
        <w:ind w:left="2160" w:hanging="360"/>
      </w:pPr>
    </w:lvl>
    <w:lvl w:ilvl="3" w:tplc="90AC7A42">
      <w:start w:val="1"/>
      <w:numFmt w:val="bullet"/>
      <w:lvlText w:val="●"/>
      <w:lvlJc w:val="left"/>
      <w:pPr>
        <w:ind w:left="2880" w:hanging="360"/>
      </w:pPr>
    </w:lvl>
    <w:lvl w:ilvl="4" w:tplc="BD0C1E5C">
      <w:start w:val="1"/>
      <w:numFmt w:val="bullet"/>
      <w:lvlText w:val="○"/>
      <w:lvlJc w:val="left"/>
      <w:pPr>
        <w:ind w:left="3600" w:hanging="360"/>
      </w:pPr>
    </w:lvl>
    <w:lvl w:ilvl="5" w:tplc="23DE617C">
      <w:start w:val="1"/>
      <w:numFmt w:val="bullet"/>
      <w:lvlText w:val="■"/>
      <w:lvlJc w:val="left"/>
      <w:pPr>
        <w:ind w:left="4320" w:hanging="360"/>
      </w:pPr>
    </w:lvl>
    <w:lvl w:ilvl="6" w:tplc="4914EFBE">
      <w:start w:val="1"/>
      <w:numFmt w:val="bullet"/>
      <w:lvlText w:val="●"/>
      <w:lvlJc w:val="left"/>
      <w:pPr>
        <w:ind w:left="5040" w:hanging="360"/>
      </w:pPr>
    </w:lvl>
    <w:lvl w:ilvl="7" w:tplc="DB7E2B66">
      <w:start w:val="1"/>
      <w:numFmt w:val="bullet"/>
      <w:lvlText w:val="●"/>
      <w:lvlJc w:val="left"/>
      <w:pPr>
        <w:ind w:left="5760" w:hanging="360"/>
      </w:pPr>
    </w:lvl>
    <w:lvl w:ilvl="8" w:tplc="2F2641A8">
      <w:start w:val="1"/>
      <w:numFmt w:val="bullet"/>
      <w:lvlText w:val="●"/>
      <w:lvlJc w:val="left"/>
      <w:pPr>
        <w:ind w:left="6480" w:hanging="360"/>
      </w:pPr>
    </w:lvl>
  </w:abstractNum>
  <w:num w:numId="1" w16cid:durableId="12071786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8"/>
  <w:displayBackgroundShape/>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468"/>
    <w:rsid w:val="00542B18"/>
    <w:rsid w:val="005C6312"/>
    <w:rsid w:val="00690F4A"/>
    <w:rsid w:val="00BE7C79"/>
    <w:rsid w:val="00C73468"/>
    <w:rsid w:val="00E232BF"/>
    <w:rsid w:val="00EE2201"/>
    <w:rsid w:val="00F549F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2709CB53"/>
  <w15:docId w15:val="{D510D7AF-3482-DE46-B778-861DAAC2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498</Words>
  <Characters>2745</Characters>
  <Application>Microsoft Office Word</Application>
  <DocSecurity>0</DocSecurity>
  <Lines>22</Lines>
  <Paragraphs>6</Paragraphs>
  <ScaleCrop>false</ScaleCrop>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Gloria Alejandra De La Fuente González</cp:lastModifiedBy>
  <cp:revision>2</cp:revision>
  <dcterms:created xsi:type="dcterms:W3CDTF">2026-09-21T10:47:00Z</dcterms:created>
  <dcterms:modified xsi:type="dcterms:W3CDTF">2026-09-21T10:47:00Z</dcterms:modified>
</cp:coreProperties>
</file>